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87" w:rsidRDefault="00C64F87" w:rsidP="00C64F87">
      <w:pPr>
        <w:pStyle w:val="a3"/>
      </w:pPr>
      <w:r>
        <w:rPr>
          <w:rFonts w:ascii="Trebuchet MS" w:hAnsi="Trebuchet MS"/>
          <w:b/>
          <w:bCs/>
        </w:rPr>
        <w:t>Порядок выполнения мероприятий по технологическому присоединению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Мероприятия по технологическому присоединению осуществляются в случае присоединения впервые вводимых в эксплуатацию, ранее присоединенных реконструируемых энергопринимающих устройств, присоединенная мощность которых увеличивается, а также в случаях изменения категории надежности электроснабжения, точки присоединения, видов производственной деятельности, не влекущих пересмотр величины присоединенной мощности, но изменяющих схему внешнего электроснабжения.</w:t>
      </w:r>
    </w:p>
    <w:p w:rsidR="00C64F87" w:rsidRDefault="00C64F87" w:rsidP="00C64F87">
      <w:pPr>
        <w:pStyle w:val="a3"/>
      </w:pPr>
      <w:proofErr w:type="gramStart"/>
      <w:r>
        <w:rPr>
          <w:rFonts w:ascii="Trebuchet MS" w:hAnsi="Trebuchet MS"/>
        </w:rPr>
        <w:t>Сетевая организация выполняет мероприятия по технологическому присоединению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27.12.2004 № 861) (далее – Правила) при наличии технической возможности технологического присоединения</w:t>
      </w:r>
      <w:proofErr w:type="gramEnd"/>
    </w:p>
    <w:p w:rsidR="00C64F87" w:rsidRDefault="00C64F87" w:rsidP="00C64F87">
      <w:pPr>
        <w:pStyle w:val="a3"/>
      </w:pPr>
      <w:r>
        <w:rPr>
          <w:rFonts w:ascii="Trebuchet MS" w:hAnsi="Trebuchet MS"/>
        </w:rPr>
        <w:t>Мероприятия по технологическому присоединению включают в себя: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- подготовку, выдачу сетевой организацией технических условий и их согласование с системным оператором (в требуемых случаях);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- разработку сетевой организацией проектной документации согласно обязательствам, предусмотренным техническими условиями;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-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-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- проверку сетевой организацией выполнения заявителем технических условий;</w:t>
      </w:r>
    </w:p>
    <w:p w:rsidR="00C64F87" w:rsidRDefault="00C64F87" w:rsidP="00C64F87">
      <w:pPr>
        <w:pStyle w:val="a3"/>
      </w:pPr>
      <w:proofErr w:type="gramStart"/>
      <w:r>
        <w:rPr>
          <w:rFonts w:ascii="Trebuchet MS" w:hAnsi="Trebuchet MS"/>
        </w:rPr>
        <w:t>- осмотр (обследование)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– 14 Правил, осмотр присоединяемых энергопринимающих устройств должен осуществляться с</w:t>
      </w:r>
      <w:proofErr w:type="gramEnd"/>
      <w:r>
        <w:rPr>
          <w:rFonts w:ascii="Trebuchet MS" w:hAnsi="Trebuchet MS"/>
        </w:rPr>
        <w:t xml:space="preserve"> участием сетевой организации и заявителя);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lastRenderedPageBreak/>
        <w:t>-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Технологическое присоединение осуществляется в следующем порядке: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- Заключение договора;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- Выполнение сторонами договора мероприятий, указанных в договоре, в порядке, предусмотренном Правилами;</w:t>
      </w:r>
    </w:p>
    <w:p w:rsidR="00C64F87" w:rsidRDefault="00C64F87" w:rsidP="00C64F87">
      <w:pPr>
        <w:pStyle w:val="a3"/>
      </w:pPr>
      <w:r>
        <w:rPr>
          <w:rFonts w:ascii="Trebuchet MS" w:hAnsi="Trebuchet MS"/>
        </w:rPr>
        <w:t>-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33642B" w:rsidRDefault="0033642B">
      <w:bookmarkStart w:id="0" w:name="_GoBack"/>
      <w:bookmarkEnd w:id="0"/>
    </w:p>
    <w:sectPr w:rsidR="0033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3"/>
    <w:rsid w:val="0033642B"/>
    <w:rsid w:val="00C64F87"/>
    <w:rsid w:val="00D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2019-02-28T10:09:00Z</dcterms:created>
  <dcterms:modified xsi:type="dcterms:W3CDTF">2019-02-28T10:10:00Z</dcterms:modified>
</cp:coreProperties>
</file>